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218A7">
      <w:pPr>
        <w:tabs>
          <w:tab w:val="left" w:pos="2835"/>
          <w:tab w:val="left" w:pos="5985"/>
          <w:tab w:val="left" w:pos="6300"/>
        </w:tabs>
        <w:spacing w:line="520" w:lineRule="atLeast"/>
        <w:rPr>
          <w:rFonts w:ascii="Tahoma" w:hAnsi="Tahoma" w:eastAsia="宋体" w:cs="Tahoma"/>
          <w:b/>
          <w:kern w:val="0"/>
          <w:sz w:val="30"/>
          <w:szCs w:val="30"/>
        </w:rPr>
      </w:pPr>
      <w:r>
        <w:rPr>
          <w:rFonts w:hint="eastAsia" w:ascii="Tahoma" w:hAnsi="Tahoma" w:eastAsia="宋体" w:cs="Tahoma"/>
          <w:bCs/>
          <w:kern w:val="0"/>
          <w:sz w:val="30"/>
          <w:szCs w:val="30"/>
        </w:rPr>
        <w:t>附件</w:t>
      </w:r>
      <w:r>
        <w:rPr>
          <w:rFonts w:hint="eastAsia" w:ascii="Tahoma" w:hAnsi="Tahoma" w:eastAsia="宋体" w:cs="Tahoma"/>
          <w:b/>
          <w:kern w:val="0"/>
          <w:sz w:val="30"/>
          <w:szCs w:val="30"/>
        </w:rPr>
        <w:t>：</w:t>
      </w:r>
    </w:p>
    <w:p w14:paraId="1298B35B">
      <w:pPr>
        <w:tabs>
          <w:tab w:val="left" w:pos="2835"/>
          <w:tab w:val="left" w:pos="5985"/>
          <w:tab w:val="left" w:pos="6300"/>
        </w:tabs>
        <w:spacing w:line="520" w:lineRule="atLeast"/>
        <w:jc w:val="center"/>
        <w:rPr>
          <w:rFonts w:ascii="Tahoma" w:hAnsi="Tahoma" w:eastAsia="宋体" w:cs="Tahoma"/>
          <w:b/>
          <w:kern w:val="0"/>
          <w:sz w:val="32"/>
          <w:szCs w:val="24"/>
        </w:rPr>
      </w:pPr>
      <w:r>
        <w:rPr>
          <w:rFonts w:hint="eastAsia" w:ascii="Tahoma" w:hAnsi="Tahoma" w:eastAsia="宋体" w:cs="Tahoma"/>
          <w:b/>
          <w:kern w:val="0"/>
          <w:sz w:val="28"/>
          <w:szCs w:val="24"/>
        </w:rPr>
        <w:t>南通大学本科</w:t>
      </w:r>
      <w:r>
        <w:rPr>
          <w:rFonts w:hint="eastAsia" w:ascii="Tahoma" w:hAnsi="Tahoma" w:eastAsia="宋体" w:cs="Tahoma"/>
          <w:b/>
          <w:kern w:val="0"/>
          <w:sz w:val="28"/>
          <w:szCs w:val="24"/>
          <w:lang w:eastAsia="zh-CN"/>
        </w:rPr>
        <w:t>毕业论文（设计）格式、</w:t>
      </w:r>
      <w:r>
        <w:rPr>
          <w:rFonts w:hint="eastAsia" w:ascii="Tahoma" w:hAnsi="Tahoma" w:eastAsia="宋体" w:cs="Tahoma"/>
          <w:b/>
          <w:kern w:val="0"/>
          <w:sz w:val="28"/>
          <w:szCs w:val="24"/>
          <w:lang w:val="en-US" w:eastAsia="zh-CN"/>
        </w:rPr>
        <w:t>AIGC、查重和AI智评</w:t>
      </w:r>
      <w:r>
        <w:rPr>
          <w:rFonts w:hint="eastAsia" w:ascii="Tahoma" w:hAnsi="Tahoma" w:eastAsia="宋体" w:cs="Tahoma"/>
          <w:b/>
          <w:kern w:val="0"/>
          <w:sz w:val="28"/>
          <w:szCs w:val="24"/>
          <w:lang w:eastAsia="zh-CN"/>
        </w:rPr>
        <w:t>检测</w:t>
      </w:r>
      <w:r>
        <w:rPr>
          <w:rFonts w:hint="eastAsia" w:ascii="Tahoma" w:hAnsi="Tahoma" w:eastAsia="宋体" w:cs="Tahoma"/>
          <w:b/>
          <w:kern w:val="0"/>
          <w:sz w:val="28"/>
          <w:szCs w:val="24"/>
        </w:rPr>
        <w:t>工作要求</w:t>
      </w:r>
    </w:p>
    <w:p w14:paraId="6877C8C7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>为贯彻落实教育部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、省教育厅及学校相关</w:t>
      </w:r>
      <w:r>
        <w:rPr>
          <w:rFonts w:hint="eastAsia" w:ascii="Tahoma" w:hAnsi="Tahoma" w:eastAsia="宋体" w:cs="Tahoma"/>
          <w:kern w:val="0"/>
          <w:sz w:val="24"/>
          <w:szCs w:val="24"/>
        </w:rPr>
        <w:t>文件精神，加强学术道德建设，防范学位论文作假行为，推进良好学风建设，提高人才培养质量，学校开展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本科毕业论文（设计）格式、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AIGC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和</w:t>
      </w:r>
      <w:r>
        <w:rPr>
          <w:rFonts w:hint="eastAsia" w:ascii="Tahoma" w:hAnsi="Tahoma" w:eastAsia="宋体" w:cs="Tahoma"/>
          <w:kern w:val="0"/>
          <w:sz w:val="24"/>
          <w:szCs w:val="24"/>
        </w:rPr>
        <w:t>查重检测工作，有关事项通知如下：</w:t>
      </w:r>
    </w:p>
    <w:p w14:paraId="41739B48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>一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、</w:t>
      </w:r>
      <w:r>
        <w:rPr>
          <w:rFonts w:ascii="Tahoma" w:hAnsi="Tahoma" w:eastAsia="宋体" w:cs="Tahoma"/>
          <w:kern w:val="0"/>
          <w:sz w:val="24"/>
          <w:szCs w:val="24"/>
        </w:rPr>
        <w:t>检测范围</w:t>
      </w:r>
    </w:p>
    <w:p w14:paraId="22206315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拟参加答辩的本科学生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ascii="Tahoma" w:hAnsi="Tahoma" w:eastAsia="宋体" w:cs="Tahoma"/>
          <w:kern w:val="0"/>
          <w:sz w:val="24"/>
          <w:szCs w:val="24"/>
        </w:rPr>
        <w:t>。</w:t>
      </w:r>
    </w:p>
    <w:p w14:paraId="40D30BBB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>二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、</w:t>
      </w:r>
      <w:r>
        <w:rPr>
          <w:rFonts w:ascii="Tahoma" w:hAnsi="Tahoma" w:eastAsia="宋体" w:cs="Tahoma"/>
          <w:kern w:val="0"/>
          <w:sz w:val="24"/>
          <w:szCs w:val="24"/>
        </w:rPr>
        <w:t>检测时间及要求</w:t>
      </w:r>
    </w:p>
    <w:p w14:paraId="41B79E13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（一）</w:t>
      </w:r>
      <w:r>
        <w:rPr>
          <w:rFonts w:ascii="Tahoma" w:hAnsi="Tahoma" w:eastAsia="宋体" w:cs="Tahoma"/>
          <w:kern w:val="0"/>
          <w:sz w:val="24"/>
          <w:szCs w:val="24"/>
        </w:rPr>
        <w:t>请各相关学院在答辩前完成对本科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ascii="Tahoma" w:hAnsi="Tahoma" w:eastAsia="宋体" w:cs="Tahoma"/>
          <w:kern w:val="0"/>
          <w:sz w:val="24"/>
          <w:szCs w:val="24"/>
        </w:rPr>
        <w:t>的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格式、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AIGC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、查重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和AI智评</w:t>
      </w:r>
      <w:r>
        <w:rPr>
          <w:rFonts w:ascii="Tahoma" w:hAnsi="Tahoma" w:eastAsia="宋体" w:cs="Tahoma"/>
          <w:kern w:val="0"/>
          <w:sz w:val="24"/>
          <w:szCs w:val="24"/>
        </w:rPr>
        <w:t>检测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，其中格式、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AIGC、AI智评检测使用维普检测系统，查重使用维普和知网检测系统</w:t>
      </w:r>
      <w:r>
        <w:rPr>
          <w:rFonts w:ascii="Tahoma" w:hAnsi="Tahoma" w:eastAsia="宋体" w:cs="Tahoma"/>
          <w:kern w:val="0"/>
          <w:sz w:val="24"/>
          <w:szCs w:val="24"/>
        </w:rPr>
        <w:t>。</w:t>
      </w:r>
    </w:p>
    <w:p w14:paraId="08A6BFA2"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ascii="Tahoma" w:hAnsi="Tahoma" w:eastAsia="宋体" w:cs="Tahoma"/>
          <w:b/>
          <w:bCs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（二）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</w:rPr>
        <w:t>所有论文由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  <w:lang w:eastAsia="zh-CN"/>
        </w:rPr>
        <w:t>学生提交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</w:rPr>
        <w:t>指导教师审阅后在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  <w:lang w:eastAsia="zh-CN"/>
        </w:rPr>
        <w:t>毕业论文（设计）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</w:rPr>
        <w:t>管理系统中提交论文检测。</w:t>
      </w:r>
    </w:p>
    <w:p w14:paraId="3A5A250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Chars="0" w:firstLine="480" w:firstLineChars="200"/>
        <w:textAlignment w:val="auto"/>
        <w:rPr>
          <w:rFonts w:hint="eastAsia" w:ascii="Tahoma" w:hAnsi="Tahoma" w:eastAsia="宋体" w:cs="Tahoma"/>
          <w:b/>
          <w:bCs/>
          <w:kern w:val="0"/>
          <w:sz w:val="24"/>
          <w:szCs w:val="24"/>
          <w:lang w:eastAsia="zh-CN"/>
        </w:rPr>
      </w:pPr>
      <w:r>
        <w:rPr>
          <w:rFonts w:hint="eastAsia" w:ascii="Tahoma" w:hAnsi="Tahoma" w:eastAsia="宋体" w:cs="Tahoma"/>
          <w:b w:val="0"/>
          <w:bCs w:val="0"/>
          <w:kern w:val="0"/>
          <w:sz w:val="24"/>
          <w:szCs w:val="24"/>
          <w:lang w:eastAsia="zh-CN"/>
        </w:rPr>
        <w:t>（三）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  <w:lang w:eastAsia="zh-CN"/>
        </w:rPr>
        <w:t>学生提交论文格式检测具体流程：</w:t>
      </w:r>
    </w:p>
    <w:p w14:paraId="4E5A901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学生在【论文检测管理(维普)】--【论文格式检测】上传论文文件，点击“提交检测”按钮，提交之后页面会显示“检测中”，学生需等待3-10分钟后，再次点击页面上的“获取检测结果”按钮获取论文格式检测报告结果。</w:t>
      </w:r>
    </w:p>
    <w:p w14:paraId="1545CDA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2.每个学生只有1次格式检测机会，请谨慎使用！格式检测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仅限提交word版本，系统提供原文批注检测报告。系统配置为学校通用模版，若专业有特殊要求的以专业要求为准，没有错误率限制，以指导老师意见为准，尽量避免基础性错误。</w:t>
      </w:r>
    </w:p>
    <w:p w14:paraId="76C982F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Chars="0" w:firstLine="480" w:firstLineChars="200"/>
        <w:textAlignment w:val="auto"/>
        <w:rPr>
          <w:rFonts w:hint="eastAsia" w:ascii="Tahoma" w:hAnsi="Tahoma" w:eastAsia="宋体" w:cs="Tahom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ahoma" w:hAnsi="Tahoma" w:eastAsia="宋体" w:cs="Tahoma"/>
          <w:b w:val="0"/>
          <w:bCs w:val="0"/>
          <w:kern w:val="0"/>
          <w:sz w:val="24"/>
          <w:szCs w:val="24"/>
          <w:lang w:val="en-US" w:eastAsia="zh-CN"/>
        </w:rPr>
        <w:t>（四）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  <w:lang w:val="en-US" w:eastAsia="zh-CN"/>
        </w:rPr>
        <w:t>学生提交论文AIGC检测具体流程：</w:t>
      </w:r>
    </w:p>
    <w:p w14:paraId="725BA1E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学生在【论文检测管理(维普)】--【论文AIGC检测】上传论文文件，点击“提交AIGC检测”按钮，提交之后页面会显示“检测中”，学生需等待3-10分钟后，再次点击页面上的“获取检测结果”按钮，直到页面上有AIGC检测报告结果返回，即检测完成。</w:t>
      </w:r>
    </w:p>
    <w:p w14:paraId="099B7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2.每个学生有2次“AIGC检测”的机会，首次检测通过的，无需进行二次检测；首次检测未通过的，须完成二次检测！请确保提交AIGC检测的论文为定稿，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允许提交的文件类型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Word文件(.doc .docx)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PDF文件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，系统提供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AIGC检测报告。学生必须完成AIGC检测且获取检测结果后，才能提交论文定稿。</w:t>
      </w:r>
    </w:p>
    <w:p w14:paraId="7EE51A4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（五）</w:t>
      </w:r>
      <w:r>
        <w:rPr>
          <w:rFonts w:hint="eastAsia" w:ascii="宋体" w:hAnsi="宋体" w:eastAsia="宋体" w:cs="宋体"/>
          <w:b/>
          <w:sz w:val="24"/>
          <w:szCs w:val="24"/>
        </w:rPr>
        <w:t>学生提交论文定稿查重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具体流程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：</w:t>
      </w:r>
    </w:p>
    <w:p w14:paraId="33881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1. 维普论文查重检测</w:t>
      </w:r>
    </w:p>
    <w:p w14:paraId="76A8EC3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1）学生在【论文检测管理(维普)】--【论文查重检测】提交论文文件，点击“提交检测”按钮，提交之后页面会显示“检测中”，学生需要等待3-10分钟后，再次点击页面上的“获取检测结果”按钮，直到页面上有“查重检测报告”的结果返回，即检测完成。</w:t>
      </w:r>
    </w:p>
    <w:p w14:paraId="636FCB7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（2）每个学生有2次维普查重机会，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首次检测通过的，无需进行二次检测；首次检测未通过的，须完成二次检测！请确保提交查重检测的论文为定稿，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允许提交的文件类型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Word文件(.doc .docx)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PDF文件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，系统提供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查重检测报告。</w:t>
      </w:r>
    </w:p>
    <w:p w14:paraId="6B3B2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. 知网论文查重检测</w:t>
      </w:r>
    </w:p>
    <w:p w14:paraId="52EEC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sz w:val="24"/>
          <w:szCs w:val="24"/>
        </w:rPr>
        <w:t>学生上传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毕业论文（设计）定稿</w:t>
      </w:r>
      <w:r>
        <w:rPr>
          <w:rFonts w:ascii="Times New Roman" w:hAnsi="Times New Roman" w:eastAsia="宋体" w:cs="Times New Roman"/>
          <w:sz w:val="24"/>
          <w:szCs w:val="24"/>
        </w:rPr>
        <w:t>，并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点击确认按钮，将论文文件提交至指导老师审核论文定稿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43BC8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（2）学生提交论文定稿之后，指导老师审核学生论文定稿页面能看到2个选项：</w:t>
      </w:r>
    </w:p>
    <w:p w14:paraId="49DB1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A审核退回：指导教师审核论文定稿不合格选择“审核退回”说明学生论文不过关，需要学生重新上传修改后论文；</w:t>
      </w:r>
    </w:p>
    <w:p w14:paraId="51155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B建议查重：指导教师审核论文定稿合格后选择“建议查重”，则返回学生提交查重检测，学生可以点击论文定稿界面“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提交查重检测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”按钮，进行论文查重；</w:t>
      </w:r>
    </w:p>
    <w:p w14:paraId="7F41CBF7">
      <w:pPr>
        <w:numPr>
          <w:numId w:val="0"/>
        </w:num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/>
          <w:b/>
          <w:sz w:val="24"/>
          <w:szCs w:val="24"/>
        </w:rPr>
        <w:t>定稿阶段第二次查重</w:t>
      </w:r>
      <w:r>
        <w:rPr>
          <w:rFonts w:hint="eastAsia" w:ascii="宋体" w:hAnsi="宋体" w:eastAsia="宋体"/>
          <w:sz w:val="24"/>
          <w:szCs w:val="24"/>
        </w:rPr>
        <w:t>：在第一次查重后，</w:t>
      </w:r>
      <w:r>
        <w:rPr>
          <w:rFonts w:hint="eastAsia" w:ascii="宋体" w:hAnsi="宋体" w:eastAsia="宋体"/>
          <w:sz w:val="24"/>
          <w:szCs w:val="24"/>
          <w:lang w:eastAsia="zh-CN"/>
        </w:rPr>
        <w:t>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学生的第一次查重结果&gt;=30%，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指导老师只能进行审核退回操作，学生重新提交论文定稿---指导教师审核论文定稿（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指导老师就可以重新按照第“2）”点中步骤选择“建议查重”按钮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）---学生重新提交查重检测（第二次查重机会）--如学生第二次查重结果&lt;30%，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则点击</w:t>
      </w:r>
      <w:r>
        <w:rPr>
          <w:rFonts w:hint="eastAsia" w:ascii="宋体" w:hAnsi="宋体" w:eastAsia="宋体"/>
          <w:sz w:val="24"/>
          <w:szCs w:val="24"/>
        </w:rPr>
        <w:t>确认，则可直接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/>
          <w:sz w:val="24"/>
          <w:szCs w:val="24"/>
        </w:rPr>
        <w:t>查重结果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提交</w:t>
      </w:r>
      <w:r>
        <w:rPr>
          <w:rFonts w:hint="eastAsia" w:ascii="宋体" w:hAnsi="宋体" w:eastAsia="宋体"/>
          <w:sz w:val="24"/>
          <w:szCs w:val="24"/>
        </w:rPr>
        <w:t>指导教师审核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如学生第二次查重结果&gt;=30%，则学生直接进入二辩，不能参加一辩的答辩环节流程。</w:t>
      </w:r>
    </w:p>
    <w:p w14:paraId="6A86BFB5">
      <w:pPr>
        <w:numPr>
          <w:numId w:val="0"/>
        </w:num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（4）学生二辩论文定稿查重</w:t>
      </w:r>
      <w:r>
        <w:rPr>
          <w:rFonts w:hint="eastAsia" w:ascii="Times New Roman" w:hAnsi="Times New Roman" w:eastAsia="宋体" w:cs="Times New Roman"/>
          <w:sz w:val="24"/>
          <w:szCs w:val="24"/>
        </w:rPr>
        <w:t>，学生可以上传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二辩</w:t>
      </w:r>
      <w:r>
        <w:rPr>
          <w:rFonts w:hint="eastAsia" w:ascii="Times New Roman" w:hAnsi="Times New Roman" w:eastAsia="宋体" w:cs="Times New Roman"/>
          <w:sz w:val="24"/>
          <w:szCs w:val="24"/>
        </w:rPr>
        <w:t>论文并提交查重检测。系统已内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嵌1次</w:t>
      </w:r>
      <w:r>
        <w:rPr>
          <w:rFonts w:hint="eastAsia" w:ascii="Times New Roman" w:hAnsi="Times New Roman" w:eastAsia="宋体" w:cs="Times New Roman"/>
          <w:sz w:val="24"/>
          <w:szCs w:val="24"/>
        </w:rPr>
        <w:t>免费查重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二辩</w:t>
      </w:r>
      <w:r>
        <w:rPr>
          <w:rFonts w:hint="eastAsia" w:ascii="Times New Roman" w:hAnsi="Times New Roman" w:eastAsia="宋体" w:cs="Times New Roman"/>
          <w:sz w:val="24"/>
          <w:szCs w:val="24"/>
        </w:rPr>
        <w:t>论文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具体流程同一辩论文定稿查重。</w:t>
      </w:r>
    </w:p>
    <w:p w14:paraId="7198D5DB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hint="eastAsia"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（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5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）</w:t>
      </w:r>
      <w:r>
        <w:rPr>
          <w:rFonts w:hint="eastAsia" w:ascii="Tahoma" w:hAnsi="Tahoma" w:eastAsia="宋体" w:cs="Tahoma"/>
          <w:kern w:val="0"/>
          <w:sz w:val="24"/>
          <w:szCs w:val="24"/>
        </w:rPr>
        <w:t>学生提交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hint="eastAsia" w:ascii="Tahoma" w:hAnsi="Tahoma" w:eastAsia="宋体" w:cs="Tahoma"/>
          <w:kern w:val="0"/>
          <w:sz w:val="24"/>
          <w:szCs w:val="24"/>
        </w:rPr>
        <w:t>定稿均</w:t>
      </w:r>
      <w:r>
        <w:rPr>
          <w:rFonts w:ascii="Tahoma" w:hAnsi="Tahoma" w:eastAsia="宋体" w:cs="Tahoma"/>
          <w:kern w:val="0"/>
          <w:sz w:val="24"/>
          <w:szCs w:val="24"/>
        </w:rPr>
        <w:t>以Word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或者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PDF</w:t>
      </w:r>
      <w:r>
        <w:rPr>
          <w:rFonts w:ascii="Tahoma" w:hAnsi="Tahoma" w:eastAsia="宋体" w:cs="Tahoma"/>
          <w:kern w:val="0"/>
          <w:sz w:val="24"/>
          <w:szCs w:val="24"/>
        </w:rPr>
        <w:t>文档格式提交电子版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，</w:t>
      </w:r>
      <w:r>
        <w:rPr>
          <w:rFonts w:ascii="Tahoma" w:hAnsi="Tahoma" w:eastAsia="宋体" w:cs="Tahoma"/>
          <w:kern w:val="0"/>
          <w:sz w:val="24"/>
          <w:szCs w:val="24"/>
        </w:rPr>
        <w:t>命名格式为：</w:t>
      </w:r>
      <w:r>
        <w:rPr>
          <w:rFonts w:ascii="宋体" w:hAnsi="宋体" w:eastAsia="宋体" w:cs="Tahoma"/>
          <w:kern w:val="0"/>
          <w:sz w:val="24"/>
          <w:szCs w:val="24"/>
        </w:rPr>
        <w:t>“</w:t>
      </w:r>
      <w:r>
        <w:rPr>
          <w:rFonts w:ascii="Tahoma" w:hAnsi="Tahoma" w:eastAsia="宋体" w:cs="Tahoma"/>
          <w:kern w:val="0"/>
          <w:sz w:val="24"/>
          <w:szCs w:val="24"/>
        </w:rPr>
        <w:t>姓名- 学号-论文题目.doc</w:t>
      </w:r>
      <w:r>
        <w:rPr>
          <w:rFonts w:ascii="宋体" w:hAnsi="宋体" w:eastAsia="宋体" w:cs="Tahoma"/>
          <w:kern w:val="0"/>
          <w:sz w:val="24"/>
          <w:szCs w:val="24"/>
        </w:rPr>
        <w:t>”</w:t>
      </w:r>
      <w:r>
        <w:rPr>
          <w:rFonts w:hint="eastAsia" w:ascii="宋体" w:hAnsi="宋体" w:eastAsia="宋体" w:cs="Tahoma"/>
          <w:kern w:val="0"/>
          <w:sz w:val="24"/>
          <w:szCs w:val="24"/>
          <w:lang w:eastAsia="zh-CN"/>
        </w:rPr>
        <w:t>，</w:t>
      </w:r>
      <w:r>
        <w:rPr>
          <w:rFonts w:ascii="Tahoma" w:hAnsi="Tahoma" w:eastAsia="宋体" w:cs="Tahoma"/>
          <w:kern w:val="0"/>
          <w:sz w:val="24"/>
          <w:szCs w:val="24"/>
        </w:rPr>
        <w:t>内容包括：封面、中英文摘要、目录、正文、参考文献、致谢。</w:t>
      </w:r>
    </w:p>
    <w:p w14:paraId="7586454A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hint="eastAsia" w:ascii="Tahoma" w:hAnsi="Tahoma" w:eastAsia="宋体" w:cs="Tahom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ahoma" w:hAnsi="Tahoma" w:eastAsia="宋体" w:cs="Tahoma"/>
          <w:b w:val="0"/>
          <w:bCs w:val="0"/>
          <w:kern w:val="0"/>
          <w:sz w:val="24"/>
          <w:szCs w:val="24"/>
          <w:lang w:val="en-US" w:eastAsia="zh-CN"/>
        </w:rPr>
        <w:t>（六）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  <w:lang w:val="en-US" w:eastAsia="zh-CN"/>
        </w:rPr>
        <w:t>学生提交论文AI智评检测具体流程：</w:t>
      </w:r>
    </w:p>
    <w:p w14:paraId="245085DB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</w:pP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1. 学生在【论文检测管理(维普)】--【论文AI智评检测】提交论文文件，点击“提交AI智评检测”按钮，提交之后页面会显示“检测中”，学生需要等待3-10分钟后，再次点击页面上的“获取检测结果”按钮，直到页面上有“AI智评检测报告”的结果返回，即检测完成。</w:t>
      </w:r>
    </w:p>
    <w:p w14:paraId="388C168F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hint="default" w:ascii="Tahoma" w:hAnsi="Tahoma" w:eastAsia="宋体" w:cs="Tahoma"/>
          <w:kern w:val="0"/>
          <w:sz w:val="24"/>
          <w:szCs w:val="24"/>
          <w:lang w:val="en-US" w:eastAsia="zh-CN"/>
        </w:rPr>
      </w:pP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每个学生只有1次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AI智评检测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机会，请谨慎使用！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请确保提交AI智评检测的论文为定稿，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允许提交的文件类型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Word文件(.doc .docx)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PDF文件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，系统提供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AI智评检测报告。</w:t>
      </w:r>
    </w:p>
    <w:p w14:paraId="62873217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三、</w:t>
      </w:r>
      <w:r>
        <w:rPr>
          <w:rFonts w:ascii="Tahoma" w:hAnsi="Tahoma" w:eastAsia="宋体" w:cs="Tahoma"/>
          <w:kern w:val="0"/>
          <w:sz w:val="24"/>
          <w:szCs w:val="24"/>
        </w:rPr>
        <w:t>其他事项</w:t>
      </w:r>
    </w:p>
    <w:p w14:paraId="5FE5237E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1.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</w:t>
      </w:r>
      <w:r>
        <w:rPr>
          <w:rFonts w:ascii="Tahoma" w:hAnsi="Tahoma" w:eastAsia="宋体" w:cs="Tahoma"/>
          <w:kern w:val="0"/>
          <w:sz w:val="24"/>
          <w:szCs w:val="24"/>
        </w:rPr>
        <w:t>各学院要提前做好宣传动员，合理安排时间，做好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ascii="Tahoma" w:hAnsi="Tahoma" w:eastAsia="宋体" w:cs="Tahoma"/>
          <w:kern w:val="0"/>
          <w:sz w:val="24"/>
          <w:szCs w:val="24"/>
        </w:rPr>
        <w:t>各阶段工作，保证本科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ascii="Tahoma" w:hAnsi="Tahoma" w:eastAsia="宋体" w:cs="Tahoma"/>
          <w:kern w:val="0"/>
          <w:sz w:val="24"/>
          <w:szCs w:val="24"/>
        </w:rPr>
        <w:t>正常进行检测。</w:t>
      </w:r>
    </w:p>
    <w:p w14:paraId="5C23FA88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2.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</w:t>
      </w:r>
      <w:r>
        <w:rPr>
          <w:rFonts w:ascii="Tahoma" w:hAnsi="Tahoma" w:eastAsia="宋体" w:cs="Tahoma"/>
          <w:kern w:val="0"/>
          <w:sz w:val="24"/>
          <w:szCs w:val="24"/>
        </w:rPr>
        <w:t>使用检测软件仅检查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ascii="Tahoma" w:hAnsi="Tahoma" w:eastAsia="宋体" w:cs="Tahoma"/>
          <w:kern w:val="0"/>
          <w:sz w:val="24"/>
          <w:szCs w:val="24"/>
        </w:rPr>
        <w:t>写作中出现的非正常引用、抄袭等学术不端行为，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ascii="Tahoma" w:hAnsi="Tahoma" w:eastAsia="宋体" w:cs="Tahoma"/>
          <w:kern w:val="0"/>
          <w:sz w:val="24"/>
          <w:szCs w:val="24"/>
        </w:rPr>
        <w:t>整体质量由指导老师、评阅老师和答辩小组</w:t>
      </w:r>
      <w:r>
        <w:rPr>
          <w:rFonts w:hint="eastAsia" w:ascii="Tahoma" w:hAnsi="Tahoma" w:eastAsia="宋体" w:cs="Tahoma"/>
          <w:kern w:val="0"/>
          <w:sz w:val="24"/>
          <w:szCs w:val="24"/>
        </w:rPr>
        <w:t>依据论文评价标准</w:t>
      </w:r>
      <w:r>
        <w:rPr>
          <w:rFonts w:ascii="Tahoma" w:hAnsi="Tahoma" w:eastAsia="宋体" w:cs="Tahoma"/>
          <w:kern w:val="0"/>
          <w:sz w:val="24"/>
          <w:szCs w:val="24"/>
        </w:rPr>
        <w:t>做出评判。</w:t>
      </w:r>
    </w:p>
    <w:p w14:paraId="7A72958B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</w:pPr>
      <w:r>
        <w:rPr>
          <w:rFonts w:ascii="Tahoma" w:hAnsi="Tahoma" w:eastAsia="宋体" w:cs="Tahoma"/>
          <w:kern w:val="0"/>
          <w:sz w:val="24"/>
          <w:szCs w:val="24"/>
        </w:rPr>
        <w:t>3.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</w:t>
      </w:r>
      <w:r>
        <w:rPr>
          <w:rFonts w:ascii="Tahoma" w:hAnsi="Tahoma" w:eastAsia="宋体" w:cs="Tahoma"/>
          <w:kern w:val="0"/>
          <w:sz w:val="24"/>
          <w:szCs w:val="24"/>
        </w:rPr>
        <w:t>各学院结合专业特点，</w:t>
      </w:r>
      <w:r>
        <w:rPr>
          <w:rFonts w:hint="eastAsia" w:ascii="Tahoma" w:hAnsi="Tahoma" w:eastAsia="宋体" w:cs="Tahoma"/>
          <w:kern w:val="0"/>
          <w:sz w:val="24"/>
          <w:szCs w:val="24"/>
        </w:rPr>
        <w:t>拟定《南通大学本科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毕业论文（设计）</w:t>
      </w:r>
      <w:r>
        <w:rPr>
          <w:rFonts w:hint="eastAsia" w:ascii="Tahoma" w:hAnsi="Tahoma" w:eastAsia="宋体" w:cs="Tahoma"/>
          <w:kern w:val="0"/>
          <w:sz w:val="24"/>
          <w:szCs w:val="24"/>
        </w:rPr>
        <w:t>学术不端行为处理办法（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修订</w:t>
      </w:r>
      <w:r>
        <w:rPr>
          <w:rFonts w:hint="eastAsia" w:ascii="Tahoma" w:hAnsi="Tahoma" w:eastAsia="宋体" w:cs="Tahoma"/>
          <w:kern w:val="0"/>
          <w:sz w:val="24"/>
          <w:szCs w:val="24"/>
        </w:rPr>
        <w:t>）》的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具体</w:t>
      </w:r>
      <w:r>
        <w:rPr>
          <w:rFonts w:hint="eastAsia" w:ascii="Tahoma" w:hAnsi="Tahoma" w:eastAsia="宋体" w:cs="Tahoma"/>
          <w:kern w:val="0"/>
          <w:sz w:val="24"/>
          <w:szCs w:val="24"/>
        </w:rPr>
        <w:t>实施意见，在论文检测前报教务处备案，加强对抄袭等作假行为的相关认定及处理工作。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4NzYwNDJlYjliZTgyNDZkOTA4ZDRmYjY0MjBlMzEifQ=="/>
  </w:docVars>
  <w:rsids>
    <w:rsidRoot w:val="00D2712F"/>
    <w:rsid w:val="002955C1"/>
    <w:rsid w:val="0044663F"/>
    <w:rsid w:val="006D5ED5"/>
    <w:rsid w:val="00746405"/>
    <w:rsid w:val="009B2D85"/>
    <w:rsid w:val="00B11B5E"/>
    <w:rsid w:val="00D23A5C"/>
    <w:rsid w:val="00D2712F"/>
    <w:rsid w:val="00D77923"/>
    <w:rsid w:val="00D973BE"/>
    <w:rsid w:val="02B41DD9"/>
    <w:rsid w:val="03B419A4"/>
    <w:rsid w:val="05F719B2"/>
    <w:rsid w:val="0F424B16"/>
    <w:rsid w:val="108654B0"/>
    <w:rsid w:val="11CC19D6"/>
    <w:rsid w:val="3C3909C3"/>
    <w:rsid w:val="3D156842"/>
    <w:rsid w:val="50210776"/>
    <w:rsid w:val="53EF404E"/>
    <w:rsid w:val="558A4E4E"/>
    <w:rsid w:val="5AA34A00"/>
    <w:rsid w:val="5AD84127"/>
    <w:rsid w:val="5CB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YXJ-NT</Company>
  <Pages>3</Pages>
  <Words>773</Words>
  <Characters>842</Characters>
  <Lines>5</Lines>
  <Paragraphs>1</Paragraphs>
  <TotalTime>94</TotalTime>
  <ScaleCrop>false</ScaleCrop>
  <LinksUpToDate>false</LinksUpToDate>
  <CharactersWithSpaces>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2022-04-23T11:00:00Z</dcterms:created>
  <dc:creator>Yue XJ</dc:creator>
  <cp:lastModifiedBy>浮生</cp:lastModifiedBy>
  <cp:lastPrinted>2026-04-23T04:30:00Z</cp:lastPrinted>
  <dcterms:modified xsi:type="dcterms:W3CDTF">2026-04-24T01:37:55Z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CA2DEC3B850E407FA90838EFAFA47928_12</vt:lpwstr>
  </property>
  <property fmtid="{D5CDD505-2E9C-101B-9397-08002B2CF9AE}" pid="4" name="KSOTemplateDocerSaveRecord">
    <vt:lpwstr>eyJoZGlkIjoiYmE4NzYwNDJlYjliZTgyNDZkOTA4ZDRmYjY0MjBlMzEiLCJ1c2VySWQiOiI5MDc5NjA3NjkifQ==</vt:lpwstr>
  </property>
</Properties>
</file>